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泉州市妇联关于寻求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承办开展“1+5 平安家庭微治理”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2020年是决胜全面建成小康社会、决战脱贫攻坚之年，也是“十三五”规划收官之年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，保持经济持续健康运行、为“十四五”发展奠定良好基础的关键之年，根据市委、市政府建设更高水平“平安泉州”和“强基促稳”三年行动工作部署要求，近期拟开展“1+5 平安家庭微治理”行动。为确保活动的实效性，提高活动的影响力，达到预期效果，市妇联决定向社会公开寻求有专业资质的机构承办该项活动。现将有关事项通知如下：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中共泉州市委政法委员会、泉州市司法局 、泉州市妇女联合会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活动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三、活动经费预算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活动项目资金额度不超过12万元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四、活动主要内容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eastAsia="zh-CN"/>
        </w:rPr>
        <w:t>内容包括：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拍摄“与法同行，典亮生活”妇女维权知识专题片，线上线下展示村（社区）级家事纠纷调解室，组建巾帼网格员团队，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Hans" w:bidi="ar-SA"/>
        </w:rPr>
        <w:t>倡议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全市家庭制止餐饮浪费，</w:t>
      </w:r>
      <w:r>
        <w:rPr>
          <w:rFonts w:hint="default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拒绝酒驾醉驾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宣传平台：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公交车载电视和相关媒体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五、承办单位条件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设立、具有独立承担民事责任能力，有内部管理监督、独立健全财务管理、会计核算和资产管理等制度；有提供服务所需人员、专业能力和必要设施；有依法缴纳税收和社保资金的良好记录；机构服务前三年内无重大违法违规纪律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六、有关申办材料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1.机构资质复印件；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2.泉州市“1+5 平安家庭微治理”行动实施方案。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以上材料请于11月24日17:30前报送泉州市妇联权益部。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联系人：陈春梅  苏翠霞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联系电话：28380281   28380296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联系地址：泉州市东海行政中心A栋583室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泉州市妇联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57114"/>
    <w:rsid w:val="368A70D8"/>
    <w:rsid w:val="69957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2020-11-18T07:15:00Z</dcterms:created>
  <dc:creator>水漾女人</dc:creator>
  <cp:lastModifiedBy>SDF</cp:lastModifiedBy>
  <dcterms:modified xsi:type="dcterms:W3CDTF">2020-11-18T07:40:07Z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