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</w:pPr>
    </w:p>
    <w:p>
      <w:pPr>
        <w:spacing w:line="600" w:lineRule="exact"/>
        <w:ind w:firstLine="1080" w:firstLineChars="300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泉州市妇联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关于部门预决算公开的规定</w:t>
      </w:r>
    </w:p>
    <w:p>
      <w:pPr>
        <w:spacing w:line="600" w:lineRule="exact"/>
        <w:ind w:firstLine="1800" w:firstLineChars="500"/>
        <w:rPr>
          <w:rFonts w:ascii="方正小标宋_GBK" w:hAnsi="宋体" w:eastAsia="方正小标宋_GBK" w:cs="宋体"/>
          <w:kern w:val="0"/>
          <w:sz w:val="36"/>
          <w:szCs w:val="36"/>
        </w:rPr>
      </w:pP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本规定依据泉州</w:t>
      </w:r>
      <w:r>
        <w:rPr>
          <w:rFonts w:hint="eastAsia" w:ascii="仿宋_GB2312" w:hAnsi="Times New Roman" w:eastAsia="仿宋_GB2312"/>
          <w:sz w:val="30"/>
          <w:szCs w:val="30"/>
        </w:rPr>
        <w:t>市财政局</w:t>
      </w:r>
      <w:r>
        <w:rPr>
          <w:rFonts w:hint="eastAsia" w:ascii="仿宋_GB2312" w:eastAsia="仿宋_GB2312"/>
          <w:sz w:val="30"/>
          <w:szCs w:val="30"/>
        </w:rPr>
        <w:t>《泉州市财政局关于印发泉州市预决算公开操作规程的通知》（</w:t>
      </w:r>
      <w:r>
        <w:rPr>
          <w:rFonts w:hint="eastAsia" w:ascii="仿宋_GB2312" w:hAnsi="仿宋" w:eastAsia="仿宋_GB2312"/>
          <w:sz w:val="30"/>
          <w:szCs w:val="30"/>
        </w:rPr>
        <w:t>泉财预〔2017〕567号）制定。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本规定所称预决算，是指经本级政府财政部门批复的部门预算、决算及报表（以下简称部门预决算）。</w:t>
      </w:r>
    </w:p>
    <w:p>
      <w:pPr>
        <w:adjustRightInd w:val="0"/>
        <w:snapToGrid w:val="0"/>
        <w:spacing w:line="324" w:lineRule="auto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一、部门预决算公开的原则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（一）积极公开。以公开为常态、不公开为例外，除涉及国家秘密的信息（以下简称涉密信息）外</w:t>
      </w:r>
      <w:r>
        <w:rPr>
          <w:rFonts w:hint="eastAsia" w:ascii="仿宋_GB2312" w:hAnsi="仿宋" w:eastAsia="仿宋_GB2312"/>
          <w:sz w:val="30"/>
          <w:szCs w:val="30"/>
        </w:rPr>
        <w:t>，不得少公开、不公开应当公开的事项，保证公开内容全面、真实、完整；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（二）强化责任。坚持谁主管、谁公开、谁负责，本部门应当切实履行职责，依法主动公开预决算信息；</w:t>
      </w:r>
    </w:p>
    <w:p>
      <w:pPr>
        <w:adjustRightInd w:val="0"/>
        <w:snapToGrid w:val="0"/>
        <w:spacing w:line="324" w:lineRule="auto"/>
        <w:ind w:firstLine="602" w:firstLineChars="200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二、</w:t>
      </w:r>
      <w:r>
        <w:rPr>
          <w:rFonts w:hint="eastAsia" w:ascii="仿宋_GB2312" w:hAnsi="仿宋" w:eastAsia="仿宋_GB2312"/>
          <w:b/>
          <w:sz w:val="30"/>
          <w:szCs w:val="30"/>
        </w:rPr>
        <w:t>部门</w:t>
      </w:r>
      <w:r>
        <w:rPr>
          <w:rFonts w:hint="eastAsia" w:ascii="仿宋_GB2312" w:hAnsi="黑体" w:eastAsia="仿宋_GB2312"/>
          <w:b/>
          <w:sz w:val="30"/>
          <w:szCs w:val="30"/>
        </w:rPr>
        <w:t>预决算公开职责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本部门负责公开部门预决算。除涉密信息外，本部门应主动、及时向社会公开经本级政府财政部门批复的本部门及所属单位预算、决算及报表等预决算信息。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本部门主管专项资金的管理办法、申报指南、分配结果、执行情况、绩效评价等全过程管理信息由本部门负责公开。</w:t>
      </w:r>
    </w:p>
    <w:p>
      <w:pPr>
        <w:adjustRightInd w:val="0"/>
        <w:snapToGrid w:val="0"/>
        <w:spacing w:line="324" w:lineRule="auto"/>
        <w:ind w:firstLine="602" w:firstLineChars="200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三、</w:t>
      </w:r>
      <w:r>
        <w:rPr>
          <w:rFonts w:hint="eastAsia" w:ascii="仿宋_GB2312" w:hAnsi="仿宋" w:eastAsia="仿宋_GB2312"/>
          <w:b/>
          <w:sz w:val="30"/>
          <w:szCs w:val="30"/>
        </w:rPr>
        <w:t>部门</w:t>
      </w:r>
      <w:r>
        <w:rPr>
          <w:rFonts w:hint="eastAsia" w:ascii="仿宋_GB2312" w:hAnsi="黑体" w:eastAsia="仿宋_GB2312"/>
          <w:b/>
          <w:sz w:val="30"/>
          <w:szCs w:val="30"/>
        </w:rPr>
        <w:t>预决算公开时间</w:t>
      </w:r>
    </w:p>
    <w:p>
      <w:pPr>
        <w:adjustRightInd w:val="0"/>
        <w:snapToGrid w:val="0"/>
        <w:spacing w:line="324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部门预决算应当在本级政府财政部门批复后</w:t>
      </w:r>
      <w:r>
        <w:rPr>
          <w:rFonts w:ascii="仿宋_GB2312" w:hAnsi="仿宋" w:eastAsia="仿宋_GB2312"/>
          <w:sz w:val="30"/>
          <w:szCs w:val="30"/>
        </w:rPr>
        <w:t>20日内向社会公开。</w:t>
      </w:r>
      <w:r>
        <w:rPr>
          <w:rFonts w:hint="eastAsia" w:ascii="仿宋_GB2312" w:hAnsi="仿宋" w:eastAsia="仿宋_GB2312"/>
          <w:sz w:val="30"/>
          <w:szCs w:val="30"/>
        </w:rPr>
        <w:t>财政专项资金全过程管理相关文件应当在印发后</w:t>
      </w:r>
      <w:r>
        <w:rPr>
          <w:rFonts w:ascii="仿宋_GB2312" w:hAnsi="仿宋" w:eastAsia="仿宋_GB2312"/>
          <w:sz w:val="30"/>
          <w:szCs w:val="30"/>
        </w:rPr>
        <w:t>20日内公开相关信息。</w:t>
      </w:r>
    </w:p>
    <w:p>
      <w:pPr>
        <w:adjustRightInd w:val="0"/>
        <w:snapToGrid w:val="0"/>
        <w:spacing w:line="324" w:lineRule="auto"/>
        <w:ind w:firstLine="602" w:firstLineChars="200"/>
        <w:rPr>
          <w:rFonts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四、</w:t>
      </w:r>
      <w:r>
        <w:rPr>
          <w:rFonts w:hint="eastAsia" w:ascii="仿宋_GB2312" w:hAnsi="仿宋" w:eastAsia="仿宋_GB2312"/>
          <w:b/>
          <w:sz w:val="30"/>
          <w:szCs w:val="30"/>
        </w:rPr>
        <w:t>部门</w:t>
      </w:r>
      <w:r>
        <w:rPr>
          <w:rFonts w:hint="eastAsia" w:ascii="仿宋_GB2312" w:hAnsi="黑体" w:eastAsia="仿宋_GB2312"/>
          <w:b/>
          <w:sz w:val="30"/>
          <w:szCs w:val="30"/>
        </w:rPr>
        <w:t>预决算公开内容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部门预决算公开内容为本级财政部门批复的部门预决算及报表，包括部门收支总体情况和财政拨款收支情况，其中：财政拨款收支情况包括一般公共预算、政府性基金预算、国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有资本经营预算拨款收支情况。对属于公开范围的部门预决算报表，没有数据的表格应当列出空表并说明。</w:t>
      </w:r>
    </w:p>
    <w:p>
      <w:pPr>
        <w:adjustRightInd w:val="0"/>
        <w:snapToGrid w:val="0"/>
        <w:spacing w:line="324" w:lineRule="auto"/>
        <w:ind w:firstLine="602" w:firstLineChars="200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五、</w:t>
      </w:r>
      <w:r>
        <w:rPr>
          <w:rFonts w:hint="eastAsia" w:ascii="仿宋_GB2312" w:hAnsi="仿宋" w:eastAsia="仿宋_GB2312"/>
          <w:b/>
          <w:sz w:val="30"/>
          <w:szCs w:val="30"/>
        </w:rPr>
        <w:t>部门</w:t>
      </w:r>
      <w:r>
        <w:rPr>
          <w:rFonts w:hint="eastAsia" w:ascii="仿宋_GB2312" w:hAnsi="黑体" w:eastAsia="仿宋_GB2312"/>
          <w:b/>
          <w:sz w:val="30"/>
          <w:szCs w:val="30"/>
        </w:rPr>
        <w:t>预决算公开方式</w:t>
      </w:r>
    </w:p>
    <w:p>
      <w:pPr>
        <w:adjustRightInd w:val="0"/>
        <w:snapToGrid w:val="0"/>
        <w:spacing w:line="324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本部门建有门户网站的，应当在门户网站公开预决算，并永久保留，其中当年预决算应当在网站醒目位置公开；</w:t>
      </w:r>
      <w:r>
        <w:rPr>
          <w:rFonts w:hint="eastAsia" w:ascii="仿宋_GB2312" w:hAnsi="仿宋" w:eastAsia="仿宋_GB2312"/>
          <w:kern w:val="0"/>
          <w:sz w:val="30"/>
          <w:szCs w:val="30"/>
        </w:rPr>
        <w:t>没有门户网站的部门在本级政府的门户网站上公开，</w:t>
      </w:r>
      <w:r>
        <w:rPr>
          <w:rFonts w:hint="eastAsia" w:ascii="仿宋_GB2312" w:hAnsi="仿宋" w:eastAsia="仿宋_GB2312"/>
          <w:sz w:val="30"/>
          <w:szCs w:val="30"/>
        </w:rPr>
        <w:t>并积极推动门户网站建设。本部门应当在门户网站醒目位置设立预决算公开栏目，规范化、标准化公开预决算，方便公众快捷获取信息。</w:t>
      </w: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5FF8"/>
    <w:rsid w:val="00086B56"/>
    <w:rsid w:val="0009532D"/>
    <w:rsid w:val="001378E2"/>
    <w:rsid w:val="002C1B8E"/>
    <w:rsid w:val="006245CC"/>
    <w:rsid w:val="007D5003"/>
    <w:rsid w:val="00AC5FF8"/>
    <w:rsid w:val="00CD7DF0"/>
    <w:rsid w:val="00E466C5"/>
    <w:rsid w:val="1CC7713B"/>
    <w:rsid w:val="759039D3"/>
    <w:rsid w:val="7EDF7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152</Words>
  <Characters>868</Characters>
  <Lines>7</Lines>
  <Paragraphs>2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2019-01-09T09:13:00Z</dcterms:created>
  <dc:creator>预算科/林钟禧1</dc:creator>
  <cp:lastModifiedBy>Administrator</cp:lastModifiedBy>
  <cp:lastPrinted>2019-01-10T03:22:00Z</cp:lastPrinted>
  <dcterms:modified xsi:type="dcterms:W3CDTF">2019-01-11T02:09:22Z</dcterms:modified>
  <dc:title>关于补充完善预决算公开内容的通知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